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75" w:rsidRPr="00491375" w:rsidRDefault="00491375" w:rsidP="00491375">
      <w:pPr>
        <w:shd w:val="clear" w:color="auto" w:fill="FFFFFF"/>
        <w:spacing w:before="180" w:after="180" w:line="540" w:lineRule="atLeast"/>
        <w:outlineLvl w:val="1"/>
        <w:rPr>
          <w:rFonts w:ascii="Times New Roman" w:eastAsia="Times New Roman" w:hAnsi="Times New Roman" w:cs="Times New Roman"/>
          <w:color w:val="333333"/>
          <w:spacing w:val="-15"/>
          <w:sz w:val="36"/>
          <w:szCs w:val="36"/>
          <w:lang w:eastAsia="en-ZA"/>
        </w:rPr>
      </w:pPr>
      <w:r w:rsidRPr="00491375">
        <w:rPr>
          <w:rFonts w:ascii="Times New Roman" w:eastAsia="Times New Roman" w:hAnsi="Times New Roman" w:cs="Times New Roman"/>
          <w:color w:val="333333"/>
          <w:spacing w:val="-15"/>
          <w:sz w:val="36"/>
          <w:szCs w:val="36"/>
          <w:lang w:eastAsia="en-ZA"/>
        </w:rPr>
        <w:t>Judges Council Constitution - Current</w:t>
      </w:r>
      <w:bookmarkStart w:id="0" w:name="_GoBack"/>
      <w:bookmarkEnd w:id="0"/>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The Southern Africa Council of Cat Judges' Constitution.</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after="0" w:line="360" w:lineRule="atLeast"/>
        <w:jc w:val="center"/>
        <w:outlineLvl w:val="2"/>
        <w:rPr>
          <w:rFonts w:ascii="Times New Roman" w:eastAsia="Times New Roman" w:hAnsi="Times New Roman" w:cs="Times New Roman"/>
          <w:color w:val="000000"/>
          <w:spacing w:val="-8"/>
          <w:sz w:val="36"/>
          <w:szCs w:val="36"/>
          <w:lang w:eastAsia="en-ZA"/>
        </w:rPr>
      </w:pPr>
      <w:r w:rsidRPr="00491375">
        <w:rPr>
          <w:rFonts w:ascii="Times New Roman" w:eastAsia="Times New Roman" w:hAnsi="Times New Roman" w:cs="Times New Roman"/>
          <w:b/>
          <w:bCs/>
          <w:color w:val="000000"/>
          <w:spacing w:val="-8"/>
          <w:sz w:val="36"/>
          <w:szCs w:val="36"/>
          <w:bdr w:val="none" w:sz="0" w:space="0" w:color="auto" w:frame="1"/>
          <w:lang w:eastAsia="en-ZA"/>
        </w:rPr>
        <w:t>CONSTITUTION OF THE SOUTHERN AFRICA COUNCIL OF CAT JUDGES</w:t>
      </w:r>
    </w:p>
    <w:p w:rsidR="00491375" w:rsidRPr="00491375" w:rsidRDefault="00491375" w:rsidP="00491375">
      <w:pPr>
        <w:shd w:val="clear" w:color="auto" w:fill="FFFFFF"/>
        <w:spacing w:after="0" w:line="360" w:lineRule="atLeast"/>
        <w:jc w:val="center"/>
        <w:outlineLvl w:val="2"/>
        <w:rPr>
          <w:rFonts w:ascii="Times New Roman" w:eastAsia="Times New Roman" w:hAnsi="Times New Roman" w:cs="Times New Roman"/>
          <w:color w:val="000000"/>
          <w:spacing w:val="-8"/>
          <w:sz w:val="36"/>
          <w:szCs w:val="36"/>
          <w:lang w:eastAsia="en-ZA"/>
        </w:rPr>
      </w:pPr>
      <w:r w:rsidRPr="00491375">
        <w:rPr>
          <w:rFonts w:ascii="Times New Roman" w:eastAsia="Times New Roman" w:hAnsi="Times New Roman" w:cs="Times New Roman"/>
          <w:b/>
          <w:bCs/>
          <w:color w:val="000000"/>
          <w:spacing w:val="-8"/>
          <w:sz w:val="36"/>
          <w:szCs w:val="36"/>
          <w:bdr w:val="none" w:sz="0" w:space="0" w:color="auto" w:frame="1"/>
          <w:lang w:eastAsia="en-ZA"/>
        </w:rPr>
        <w:t>2002</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1. NAME</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The association shall be known as the Southern Africa Council of Cat Judges. The Southern Africa Council of Cat Judges shall be a voluntary association, with an independent legal persona.</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2. OBJECTS</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To co-ordinate, govern and promote all matters pertaining to SACC accredited Judges comprising of inter alia:</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2.1. The Training of Judges and to lay down standards for such training</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2.2. The interchange of ideas on all aspects of cat judging</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2.3. The promulgation of rules, regulations and a general code of ethics for judges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2.4. The continued education of judges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2.5. The Promotion of well qualified and educated judging according to acceptable standards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xml:space="preserve">2.6. The promotion of exhibiting healthy and </w:t>
      </w:r>
      <w:proofErr w:type="spellStart"/>
      <w:r w:rsidRPr="00491375">
        <w:rPr>
          <w:rFonts w:ascii="Arial" w:eastAsia="Times New Roman" w:hAnsi="Arial" w:cs="Arial"/>
          <w:color w:val="555555"/>
          <w:spacing w:val="-8"/>
          <w:sz w:val="21"/>
          <w:szCs w:val="21"/>
          <w:lang w:eastAsia="en-ZA"/>
        </w:rPr>
        <w:t>well presented</w:t>
      </w:r>
      <w:proofErr w:type="spellEnd"/>
      <w:r w:rsidRPr="00491375">
        <w:rPr>
          <w:rFonts w:ascii="Arial" w:eastAsia="Times New Roman" w:hAnsi="Arial" w:cs="Arial"/>
          <w:color w:val="555555"/>
          <w:spacing w:val="-8"/>
          <w:sz w:val="21"/>
          <w:szCs w:val="21"/>
          <w:lang w:eastAsia="en-ZA"/>
        </w:rPr>
        <w:t xml:space="preserve"> felines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2.7. To compile a uniform system for training and conduct of judges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lastRenderedPageBreak/>
        <w:t>2.8. To convene a General Meeting, Symposium or workshop at least every 2 years</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3. DEFINITIONS</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3.1. “The Rules” shall refer to the Rules and Regulations duly passed by Council in accordance with the Constitution and subject to the SACC Constitution.</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3.2. “Panel” shall mean any Judges Panel formally recognised and accredited to The Southern Africa Cat Council (SACC).</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3.3. “Members” shall mean every member of a Panel who is in good standing as referred to in 3.2 and 3.5.</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3.4. “Office” shall mean the term of office served by an elected Panel as the office of Council for the period.</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3.5. “Good Standing” shall mean a member who has paid his/her annual membership fees to that panel he/she is a member of.</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3.6. “SACC” shall mean the Southern Africa Cat Council.</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3.7</w:t>
      </w:r>
      <w:proofErr w:type="gramStart"/>
      <w:r w:rsidRPr="00491375">
        <w:rPr>
          <w:rFonts w:ascii="Arial" w:eastAsia="Times New Roman" w:hAnsi="Arial" w:cs="Arial"/>
          <w:color w:val="555555"/>
          <w:spacing w:val="-8"/>
          <w:sz w:val="21"/>
          <w:szCs w:val="21"/>
          <w:lang w:eastAsia="en-ZA"/>
        </w:rPr>
        <w:t>. ”</w:t>
      </w:r>
      <w:proofErr w:type="gramEnd"/>
      <w:r w:rsidRPr="00491375">
        <w:rPr>
          <w:rFonts w:ascii="Arial" w:eastAsia="Times New Roman" w:hAnsi="Arial" w:cs="Arial"/>
          <w:color w:val="555555"/>
          <w:spacing w:val="-8"/>
          <w:sz w:val="21"/>
          <w:szCs w:val="21"/>
          <w:lang w:eastAsia="en-ZA"/>
        </w:rPr>
        <w:t>Council” shall mean the Southern Africa Council of Cat Judges and of which each qualified judge who is a member of a SACC accredited Judges Panel, is a member.</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3.8. “General Meeting” shall mean a meeting held for the purposes usually governed by an AGM.</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4. MEMBERSHIP FEES TO COUNCIL</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4.1. An annual fee per capita of members, shall be payable to Council by each Panel in January of each year.</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4.2. The amount of the annual membership fee payable shall be decided at a General Meeting of Council by a simple majority vote of members present at the meeting.</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5. ELIGIBILITY TO VOTE</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lastRenderedPageBreak/>
        <w:t>5.1. All matters requiring a Members vote shall be decided on a simple majority vote of members who are in good standing.</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5.2. At each General Meeting of Council, each member present and who is in good standing is entitled to vote. Postal votes or Proxys are not permissible.</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5.3. In all other matters concerning Council, Breeds, SOPs and judging that are not dealt with at a General Meeting of Council, each member in good standing shall have a vote. The vote shall be decided on a simple majority of all members in good standing.</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6. OFFICE OF COUNCIL</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Office of Council shall rotate between the SACC accredited Panels every 2 years or at any interval deemed suitable by a majority vote of the members.</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7. ADMINISTRATION OFFICERS OF COUNCIL</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7.1. The administration of Council shall be conducted by a Chairperson, Secretary and Treasurer, being members of the Panel, elected to hold office for a period of 2 years.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7.2. The officers shall be elected by the members of the panel holding office.</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8. ELECTION OF THE OFFICE OF COUNCIL</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The Office of Council shall be elected at a General Meeting of Council and will serve for 2 years, unless changed in terms of this constitution.</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9. DUTIES OF THE OFFICERS OF COUNCIL</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lastRenderedPageBreak/>
        <w:t>9.1. The Chair person shall preside at all meetings. The Chairperson shall present a report at the Symposium.</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xml:space="preserve">9.2. The Secretary shall </w:t>
      </w:r>
      <w:proofErr w:type="spellStart"/>
      <w:r w:rsidRPr="00491375">
        <w:rPr>
          <w:rFonts w:ascii="Arial" w:eastAsia="Times New Roman" w:hAnsi="Arial" w:cs="Arial"/>
          <w:color w:val="555555"/>
          <w:spacing w:val="-8"/>
          <w:sz w:val="21"/>
          <w:szCs w:val="21"/>
          <w:lang w:eastAsia="en-ZA"/>
        </w:rPr>
        <w:t>liase</w:t>
      </w:r>
      <w:proofErr w:type="spellEnd"/>
      <w:r w:rsidRPr="00491375">
        <w:rPr>
          <w:rFonts w:ascii="Arial" w:eastAsia="Times New Roman" w:hAnsi="Arial" w:cs="Arial"/>
          <w:color w:val="555555"/>
          <w:spacing w:val="-8"/>
          <w:sz w:val="21"/>
          <w:szCs w:val="21"/>
          <w:lang w:eastAsia="en-ZA"/>
        </w:rPr>
        <w:t xml:space="preserve"> with all accredited Panels and /or members on all relevant matters, conduct the correspondence of Council and circulate all correspondence to members/Panels.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9.3. The Treasurer shall have custody of all monies received by or on behalf of the Council and shall open a Banking or Building Society account in the name of the Council and keep proper and up to date books and records of Assets and Liabilities.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9.4. The Treasurer shall present at the General Meeting of Council a Report and audited account of all transactions with balance sheets.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9.5. The Treasurer shall provide all SACC accredited panels with an income and expense account on an annual basis.</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10. AFFILIATION/ACCREDITATION TO THE SOUTHERN AFRICACAT COUNCIL (SACC)</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Council shall be affiliated/accredited to SACC and is governed by the SACC Constitution and Rules.</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color w:val="333333"/>
          <w:spacing w:val="-8"/>
          <w:sz w:val="33"/>
          <w:szCs w:val="33"/>
          <w:lang w:eastAsia="en-ZA"/>
        </w:rPr>
        <w:t> </w:t>
      </w:r>
      <w:r w:rsidRPr="00491375">
        <w:rPr>
          <w:rFonts w:ascii="Arial" w:eastAsia="Times New Roman" w:hAnsi="Arial" w:cs="Arial"/>
          <w:b/>
          <w:bCs/>
          <w:color w:val="333333"/>
          <w:spacing w:val="-8"/>
          <w:sz w:val="33"/>
          <w:szCs w:val="33"/>
          <w:bdr w:val="none" w:sz="0" w:space="0" w:color="auto" w:frame="1"/>
          <w:lang w:eastAsia="en-ZA"/>
        </w:rPr>
        <w:t>11. GENERAL MEETING/SYMPOSIUM/AGENDA/MINUTES</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11.1. Council shall convene a General Meeting at least every 2(two) years.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11.2. The agenda for the General meeting shall be in writing, containing any business to be brought by any member to such meeting.</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11.3. The Agenda of the General Meeting shall be circulated to the members at least 14 days prior to the date of the General Meeting. Proposals for the Agenda shall be made to the Secretary in office no later than 21 days prior to the General Meeting.</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11.4. The minutes of the General Meeting shall be kept by the Secretary in office and shall be an accurate record of the General Meeting.</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11.5. All matters decided at a General Meeting shall become effective immediately.</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11.6. The quorum for the General Meeting shall be no fewer than 12 members in good standing.</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lastRenderedPageBreak/>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12. AMENDMENTS TO THE CONSTITUTION</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The constitution may be amended at a General Meeting of Council with the consent of a two-third majority of members present at the General Meeting and who are in good standing</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pBdr>
          <w:bottom w:val="single" w:sz="6" w:space="0" w:color="DDDDDD"/>
        </w:pBdr>
        <w:shd w:val="clear" w:color="auto" w:fill="FFFFFF"/>
        <w:spacing w:after="0" w:line="330" w:lineRule="atLeast"/>
        <w:outlineLvl w:val="3"/>
        <w:rPr>
          <w:rFonts w:ascii="Arial" w:eastAsia="Times New Roman" w:hAnsi="Arial" w:cs="Arial"/>
          <w:color w:val="333333"/>
          <w:spacing w:val="-8"/>
          <w:sz w:val="33"/>
          <w:szCs w:val="33"/>
          <w:lang w:eastAsia="en-ZA"/>
        </w:rPr>
      </w:pPr>
      <w:r w:rsidRPr="00491375">
        <w:rPr>
          <w:rFonts w:ascii="Arial" w:eastAsia="Times New Roman" w:hAnsi="Arial" w:cs="Arial"/>
          <w:b/>
          <w:bCs/>
          <w:color w:val="333333"/>
          <w:spacing w:val="-8"/>
          <w:sz w:val="33"/>
          <w:szCs w:val="33"/>
          <w:bdr w:val="none" w:sz="0" w:space="0" w:color="auto" w:frame="1"/>
          <w:lang w:eastAsia="en-ZA"/>
        </w:rPr>
        <w:t>13. DISSOLUTION OF COUNCIL</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13.1. Council may be dissolved by a decision of a two-third majority vote of all its members.</w:t>
      </w:r>
    </w:p>
    <w:p w:rsidR="00491375" w:rsidRPr="00491375" w:rsidRDefault="00491375" w:rsidP="00491375">
      <w:pPr>
        <w:shd w:val="clear" w:color="auto" w:fill="FFFFFF"/>
        <w:spacing w:before="360" w:after="360" w:line="240" w:lineRule="auto"/>
        <w:ind w:left="792" w:hanging="432"/>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13.2. Upon winding up or liquidation, its assets remaining after the satisfaction of its liabilities, shall be divided between the Panels per capita of their members.</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 </w:t>
      </w:r>
    </w:p>
    <w:p w:rsidR="00491375" w:rsidRPr="00491375" w:rsidRDefault="00491375" w:rsidP="00491375">
      <w:pPr>
        <w:shd w:val="clear" w:color="auto" w:fill="FFFFFF"/>
        <w:spacing w:before="360" w:after="360" w:line="240" w:lineRule="auto"/>
        <w:rPr>
          <w:rFonts w:ascii="Arial" w:eastAsia="Times New Roman" w:hAnsi="Arial" w:cs="Arial"/>
          <w:color w:val="555555"/>
          <w:spacing w:val="-8"/>
          <w:sz w:val="21"/>
          <w:szCs w:val="21"/>
          <w:lang w:eastAsia="en-ZA"/>
        </w:rPr>
      </w:pPr>
      <w:r w:rsidRPr="00491375">
        <w:rPr>
          <w:rFonts w:ascii="Arial" w:eastAsia="Times New Roman" w:hAnsi="Arial" w:cs="Arial"/>
          <w:color w:val="555555"/>
          <w:spacing w:val="-8"/>
          <w:sz w:val="21"/>
          <w:szCs w:val="21"/>
          <w:lang w:eastAsia="en-ZA"/>
        </w:rPr>
        <w:t>Amended November, 2000</w:t>
      </w:r>
    </w:p>
    <w:p w:rsidR="00E37952" w:rsidRDefault="00E37952"/>
    <w:sectPr w:rsidR="00E37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FC"/>
    <w:rsid w:val="00491375"/>
    <w:rsid w:val="00600ADB"/>
    <w:rsid w:val="00813D53"/>
    <w:rsid w:val="00AE2CFC"/>
    <w:rsid w:val="00E379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4F861-9A67-4F28-A8CA-727D734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137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49137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49137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37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491375"/>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491375"/>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49137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91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2771">
      <w:bodyDiv w:val="1"/>
      <w:marLeft w:val="0"/>
      <w:marRight w:val="0"/>
      <w:marTop w:val="0"/>
      <w:marBottom w:val="0"/>
      <w:divBdr>
        <w:top w:val="none" w:sz="0" w:space="0" w:color="auto"/>
        <w:left w:val="none" w:sz="0" w:space="0" w:color="auto"/>
        <w:bottom w:val="none" w:sz="0" w:space="0" w:color="auto"/>
        <w:right w:val="none" w:sz="0" w:space="0" w:color="auto"/>
      </w:divBdr>
      <w:divsChild>
        <w:div w:id="1314219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Thyra Laing</dc:creator>
  <cp:keywords/>
  <dc:description/>
  <cp:lastModifiedBy>Thyra Laing</cp:lastModifiedBy>
  <cp:revision>1</cp:revision>
  <dcterms:created xsi:type="dcterms:W3CDTF">2019-03-20T04:03:00Z</dcterms:created>
  <dcterms:modified xsi:type="dcterms:W3CDTF">2019-03-20T06:31:00Z</dcterms:modified>
</cp:coreProperties>
</file>